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Фтизиатрия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Фтизиатрия | Записей: 2</w:t>
      </w:r>
    </w:p>
    <w:p>
      <w:r>
        <w:br w:type="page"/>
      </w:r>
    </w:p>
    <w:p>
      <w:pPr>
        <w:pStyle w:val="Heading1"/>
      </w:pPr>
      <w:r>
        <w:t>Фтизиатрия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Фтизиатрия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П. 51 года, доставлен в общесоматический стационар по поводу кровохарканья бригадой скорой помощи. Кровохарканье впервые, но 5 лет назад был снят с учета в противотуберкулезном диспансере, где лечился по поводу туберкулеза легких. При обследовании в приемном покое выполнено рентгенологическое обследование органов грудной клетки, сделан анализ мокроты на КУМ (-). Вызван на консультацию фтизиатр, пациент переведен в противотуберкулезный стационар.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Кровохарканье, кашель с мокротой.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больного, последний месяц были проявления ОРВИ – насморк, першение в горле, кашель с мокротой, сильная слабость, потливость. Температура повышалась до субфебрильных цифр. Лечился сам с умеренным эффектом. Кровохарканье появилось при усилении кашля. Жена вызвала скорую помощь, был доставлен в стационар, где при рентгенологическом обследовании на уровне приемного покоя выявлены инфильтративные изменения в верхней доле правого легкого в зоне следов перенесенного туберкулеза (множественных петрификатов). В мокроте КУМ не выявлены. Учитывая данные о туберкулезе в анамнезе, пациент переведен в туберкулезный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 рос и развивался без особенностей. Образование среднее, профессия – каменщик, работал на стройке без официального трудоустройства. +</w:t>
        <w:br/>
        <w:t>Перенесенные заболевания: 5 лет назад выявлена ВИЧ-инфекция, лечение получает крайне не регулярно. В анамнезе -- употребление наркотических средств. Злоупотребляет алкоголем. Курит более 20 лет. ХОБЛ. Хронический гепатит С. Хронический гастрит, хронический панкреатит. +</w:t>
        <w:br/>
        <w:t>Разведен, живет с сожительницей в коммунальной квартире с ее детьми 7 и 9 лет. +</w:t>
        <w:br/>
        <w:t>Флюорографическое обследование проходит нерегулярно. +</w:t>
        <w:br/>
        <w:t>Контакт с больными туберкулезом предполагает в быту, в квартире проживают соседи, наблюдающиеся в противотуберкулезном диспансере. +</w:t>
        <w:br/>
        <w:t>5 лет назад был снят с учета в противотуберкулезном диспансере, где лечился по поводу туберкулеза легких с бактериовыделением.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больного относительно удовлетворительное, активен. Телосложение астеническое. Кожные покровы обычной окраски. Пониженного питания. Грудная клетка симметрично участвует в акте дыхания. При перкуссии – притупление перкуторного тона справа над и под ключицей, в этой зоне дыхание с жестким оттенком, выслушиваются скудные влажные хрипы. ЧДД 18 в 1 мин. Границы сердца в пределах нормы, тоны сердца приглушены. Пульс ритмичный, удовлетворительного наполнения, 88 в 1 мин. Живот симметричный, мягкий. Печень выступает из-под края реберной дуги на 4 см, пальпация умеренно болезненная. Область почек не изменена, с-м Пастернацкого отрицательный с обеих сторон. Отеков нет.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на амбулаторном приеме фтизиатром должны быть назначены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посев мокроты на МБТ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исследование мокроты на МБТ методом люминесцентной микроскопии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исследование мокроты молекулярно-генетическим методом на наличие маркеров ДНК микобактерий туберкулеза и устойчивость к противотуберкулезным препаратам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общеклинический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определение устойчивости МБТ к ПТП первого и второго ряда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посев мокроты на МБТ; исследование мокроты на МБТ методом люминесцентной микроскопии; исследование мокроты молекулярно-генетическим методом на наличие маркеров ДНК микобактерий туберкулеза и устойчивость к противотуберкулезным препаратам; определение устойчивости МБТ к ПТП первого и второго ряда</w:t>
      </w:r>
    </w:p>
    <w:p>
      <w:pPr>
        <w:ind w:left="504"/>
      </w:pPr>
      <w:r>
        <w:rPr>
          <w:b w:val="0"/>
          <w:i/>
        </w:rPr>
        <w:t>Культуральные методы (посевы на плотных и жидких питательных средах) являются основными фенотипическими методами выявления МБТ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2.3. Лабораторные диагностические исследования</w:t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Культуральный метод определения лекарственной чувствительности МБТ позволяет определить чувствительность (ЛЧ) к широкому спектру ПТП и назначить индивидуализированную схему лечения в соответствии с полученными результатами.</w:t>
        <w:br/>
        <w:br/>
      </w:r>
      <w:hyperlink r:id="rId11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При выявлении патологических изменений в легких рентгенологическим методом, назначается двукратный анализ мокроты, нацеленный на поиск кислотоустойчивых микобактерий методом микроскопии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Приложение В. Информация для пациентов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Приоритетным компонентом комплекса исследования у пациентов с туберкулезом рекомендуется определение мутаций, ассоциированных с лекарственной устойчивостью в ДНК микобактерий туберкулеза (_Mycobacterium tuberculosis complex_) методом ПЦР в режиме реального времени или методом ПЦР с дальнейшей гибридизацией к препаратам первого ряда – изониазиду  и рифампицину  или, как минимум, к рифампицину. Исследование выполняется двукратно при отрицательном результате первого исследования, а также при положительном результате и одновременном отсутствии клинико-рентгенологических признаков туберкулезного заболевания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2.3. Лабораторные диагностические исследования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выполнить микробиологическое (культуральное) исследование для определения чувствительности микобактерий туберкулеза (_Mycobacterium tuberculosis complex_), выделенных из мокроты или другого диагностического материала, к противотуберкулезным препаратам первого и второго ряда на жидких питательных средах с автоматической детекцией роста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2.3. Лабораторные диагностические исследования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Исследование мокроты на МБТ методом люминесцентной микроскопии</w:t>
      </w:r>
    </w:p>
    <w:p>
      <w:pPr>
        <w:spacing w:after="58"/>
      </w:pPr>
      <w:r>
        <w:rPr>
          <w:b w:val="0"/>
          <w:i w:val="0"/>
        </w:rPr>
        <w:t>В мокроте методом люминесцентной микроскопии КУМ не выявлены</w:t>
      </w:r>
    </w:p>
    <w:p>
      <w:pPr>
        <w:pStyle w:val="Heading3"/>
      </w:pPr>
      <w:r>
        <w:t>3.2. Исследование мокроты молекулярно-генетическим методом на наличие маркеров ДНК микобактерий туберкулеза и устойчивость к противотуберкулезным препаратам</w:t>
      </w:r>
    </w:p>
    <w:p>
      <w:pPr>
        <w:spacing w:after="58"/>
      </w:pPr>
      <w:r>
        <w:rPr>
          <w:b w:val="0"/>
          <w:i w:val="0"/>
        </w:rPr>
        <w:t>В мокроте методом ПЦР по технологии GeneXpert выявлена ДНК МБТ, определена устойчивость к рифампицину</w:t>
      </w:r>
    </w:p>
    <w:p>
      <w:pPr>
        <w:pStyle w:val="Heading3"/>
      </w:pPr>
      <w:r>
        <w:t>3.3. Посев мокроты на МБТ</w:t>
      </w:r>
    </w:p>
    <w:p>
      <w:pPr>
        <w:spacing w:after="58"/>
      </w:pPr>
      <w:r>
        <w:rPr>
          <w:b w:val="0"/>
          <w:i w:val="0"/>
        </w:rPr>
        <w:t>На амбулаторном этапе обследования -- сделан посев мокроты на твердые питательные среды -- в работе</w:t>
      </w:r>
    </w:p>
    <w:p>
      <w:pPr>
        <w:pStyle w:val="Heading3"/>
      </w:pPr>
      <w:r>
        <w:t>3.4. Определение устойчивости МБТ к ПТП первого и второго ряда</w:t>
      </w:r>
    </w:p>
    <w:p>
      <w:pPr>
        <w:spacing w:after="58"/>
      </w:pPr>
      <w:r>
        <w:rPr>
          <w:b w:val="0"/>
          <w:i w:val="0"/>
        </w:rPr>
        <w:t>Сделанные посевы мокроты на твердые питательные среды – в работе, определение устойчивости будет сделано после получения роста культуры</w:t>
      </w:r>
    </w:p>
    <w:p>
      <w:pPr>
        <w:pStyle w:val="Heading3"/>
      </w:pPr>
      <w:r>
        <w:t>3.5.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Название, ед. измерения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Общий белок,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60-85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Альбумины,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35-50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Фибриноген,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2-4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Общий билирубин,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8,5-20,5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Непрямой билирубин,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1-8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Прямой билирубин,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1-20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Аспартатаминотрансфераза,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&lt; 31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Аланинаминотрансфераза,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&lt; 35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Гамма-глутаминтрансфераза,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&lt; 40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Щелочная фосфатаза,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30-110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Триглицериды, 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0,4-1,8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Холестерин, 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3,5-5,5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4,2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Креатинин 82 мкмоль/л</w:t>
      </w:r>
    </w:p>
    <w:p>
      <w:pPr>
        <w:spacing w:after="58"/>
      </w:pPr>
      <w:r>
        <w:rPr>
          <w:b w:val="0"/>
          <w:i w:val="0"/>
        </w:rPr>
        <w:t>Глюкоза 4,0 ммоль/л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туберкулеза фтизиатром должны быть назначены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сцинтиграфия легких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компьютерная томография легких и средостения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УЗИ плевральных полостей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спирография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фибробронхоскопия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рентгенография органов грудной клетки в прямой и боковой проекциях и линейные томограммы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компьютерная томография легких и средостения; фибробронхоскопия; рентгенография органов грудной клетки в прямой и боковой проекциях и линейные томограммы</w:t>
      </w:r>
    </w:p>
    <w:p>
      <w:pPr>
        <w:ind w:left="504"/>
      </w:pPr>
      <w:r>
        <w:rPr>
          <w:b w:val="0"/>
          <w:i/>
        </w:rPr>
        <w:t>Компьютерная томография позволяет детализировать локализацию, протяжённость, структуру туберкулезного процесса. При этом технология спирального сканирования даёт возможность строить трёхмерные изображения исследуемых структур, включая скрытые для классической рентгенологии зоны. Имеется возможность с высокой степенью разрешения достоверно определить плотность патологических изменений и избежать эффекта суммации.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2.4. Инструментальные диагностические исследования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Бронхоскопия позволяет получить визуальную информацию о состоянии обследуемого объекта и взять биопсийный материал для микробиологического, цитологического и гистологического исследований. Наиболее часто используются эндоскопические методы с видеосопровождением (бронхоскопия, торакоскопия, медиастиноскопия)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2.4. Инструментальные диагностические исследования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пациенту с подозрением на туберкулез органов дыхания выполнить рентгенографию легких в двух проекциях для определения клинической формы, активности и распространенности процесса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2.4. Инструментальные диагностические исследования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Рентгенография органов грудной клетки в прямой и боковой проекциях и линейные томограммы</w:t>
      </w:r>
    </w:p>
    <w:p>
      <w:r>
        <w:drawing>
          <wp:inline xmlns:a="http://schemas.openxmlformats.org/drawingml/2006/main" xmlns:pic="http://schemas.openxmlformats.org/drawingml/2006/picture">
            <wp:extent cx="5303520" cy="500640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352cb3c2c4b7d2b63b07a72983a9cba5305c17a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064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Рентгенография органов грудной клетки в прямой и боковой проекциях и линейные томограммы</w:t>
      </w:r>
    </w:p>
    <w:p>
      <w:pPr>
        <w:spacing w:after="58"/>
      </w:pPr>
      <w:r>
        <w:rPr>
          <w:b w:val="0"/>
          <w:i w:val="0"/>
        </w:rPr>
        <w:t>{nbsp}</w:t>
      </w:r>
    </w:p>
    <w:p>
      <w:r>
        <w:drawing>
          <wp:inline xmlns:a="http://schemas.openxmlformats.org/drawingml/2006/main" xmlns:pic="http://schemas.openxmlformats.org/drawingml/2006/picture">
            <wp:extent cx="5303520" cy="392213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d7f1556fb5e28257f54cc6464b148e29dcebbf8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221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Рентгенография2.jpg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Справа в верхней доле правого легкого от первого до 2 ребра определяется участок затемнения легочной ткани неправильной формы средней интенсивности с нечеткими контурами. В его зоне имеются множественные мелкие петрификаты. Зона фиброзно изменена, есть плевропульмональные тяжи, плевра утолщена. +</w:t>
        <w:br/>
        <w:t>В правом корне видны петрификаты. Определяются плевральные наложения в апикальных зонах. Синусы плевры свободны. Тень средостения в пределах нормы. Диафрагма расположена обычно. +</w:t>
        <w:br/>
        <w:t>Рекомендовано КТ органов грудной клетки и анализ флюороархива</w:t>
      </w:r>
    </w:p>
    <w:p>
      <w:pPr>
        <w:pStyle w:val="Heading3"/>
      </w:pPr>
      <w:r>
        <w:t>5.2. Компьютерная томография легких и средостения</w:t>
      </w:r>
    </w:p>
    <w:p>
      <w:r>
        <w:drawing>
          <wp:inline xmlns:a="http://schemas.openxmlformats.org/drawingml/2006/main" xmlns:pic="http://schemas.openxmlformats.org/drawingml/2006/picture">
            <wp:extent cx="5303520" cy="216781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8c0853a20584c85cc4ef41fea72588e25d362c8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16781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Компьютерная томография легких и средостения</w:t>
      </w:r>
    </w:p>
    <w:p>
      <w:r>
        <w:drawing>
          <wp:inline xmlns:a="http://schemas.openxmlformats.org/drawingml/2006/main" xmlns:pic="http://schemas.openxmlformats.org/drawingml/2006/picture">
            <wp:extent cx="5303520" cy="232029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1477898d5840fcda9a165532420a5c46278e778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32029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Компьютерная томография легких и средостения</w:t>
      </w:r>
    </w:p>
    <w:p>
      <w:pPr>
        <w:spacing w:after="58"/>
      </w:pPr>
      <w:r>
        <w:rPr>
          <w:b w:val="0"/>
          <w:i w:val="0"/>
        </w:rPr>
        <w:t>КТ-исследование органов грудной клетки срезами по 5 мм с последующей реконструкцией по 1,25 мм без контрастного усиления. +</w:t>
        <w:br/>
        <w:t>В проекции С1,2 правого легкого определяется инфильтративные изменения, располагающиеся в зоне множественных разнокалиберных петрифакатов. Массивные обызвествления в трахеобронхиальной группе лимфоузлов справа. Массивные апикальные наслоения. Корни легких не расширены. В С1,2 слева субплеврально петрикаты. Трахея и главные бронхи проходимы, просветы долевых и визуализируемых сегментарных бронхов не изменены, контуры их не деформированы. Апикальная плевра утолщена, уплотнена. Конфигурация и размеры средостения без особенностей. Средостение не смещено.</w:t>
      </w:r>
    </w:p>
    <w:p>
      <w:pPr>
        <w:pStyle w:val="Heading3"/>
      </w:pPr>
      <w:r>
        <w:t>5.3. Фибробронхоскопия</w:t>
      </w:r>
    </w:p>
    <w:p>
      <w:pPr>
        <w:spacing w:after="58"/>
      </w:pPr>
      <w:r>
        <w:rPr>
          <w:b w:val="0"/>
          <w:i w:val="0"/>
        </w:rPr>
        <w:t>Под местной анестезией раствором лидокаина 2,0% -- 8,0 мл осмотрено трахеобронхиальное дерево. В трахее без особенностей. Карина бифуркации острая. Бронхи осмотрены с двух сторон до устьев сегментарных. Проходимость бронхов сохранена. Слизистая оболочка бронхов бледно-розового цвета, умеренно отечная, больше слева. Устья сегментарных бронхов округлой формы, респираторная подвижность сохранена с двух сторон. Мокрота слизистого характера в небольшом количестве с двух сторон. Новообразований не обнаружено.</w:t>
      </w:r>
    </w:p>
    <w:p>
      <w:pPr>
        <w:spacing w:after="58"/>
      </w:pPr>
      <w:r>
        <w:rPr>
          <w:b w:val="0"/>
          <w:i w:val="0"/>
        </w:rPr>
        <w:t>*Заключение*: Катаральный эндобронхит с двух сторон.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анамнез заболевания, анамнез жизни, данные объективного осмотра, результаты обследования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Инфильтративный туберкулез S1,2 правого легкого, фаза распада и обсеменения. МБТ(-). Рецидив. Кровохарканье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Диссеминированный туберкулез легких в фазе инфильтрации, МБТ(-). Кровохарканье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Инфильтративный туберкулез S1S2 левого легкого в фазе инфильтрации и распада, МБТ(-). Кровохарканье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Кавернозный туберкулез верхней доли правого легкого, фаза инфильтрации, МБТ(-). Кровохарканье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Инфильтративный туберкулез S1,2 правого легкого, фаза распада и обсеменения. МБТ(-). Рецидив. Кровохарканье</w:t>
      </w:r>
    </w:p>
    <w:p>
      <w:pPr>
        <w:ind w:left="504"/>
      </w:pPr>
      <w:r>
        <w:rPr>
          <w:b w:val="0"/>
          <w:i/>
        </w:rPr>
        <w:t>Диагноз постановлен на основании данных фтизиатрического анамнеза-ранее состоял и лечился по поводу туберкулеза легких, выраженные клинические проявления (температура повышалась до субфебрильных цифр, кровохарканье появилось при усилении кашля) По данным исследования рентгенологического обследования выявлены инфильтративные изменения в зоне множественных петрификатов,  наличие плевропульмональных тяжей  и плевральных наслоений, наличие следов перенесенного туберкулеза (кальцинаты в зоне выявленных «свежих» очаговых изменений), вхождения пациента в группу медицинского риска по туберкулезу (перенесенный туберкулез),  курит более 20 лет, страдает ХОБЛ, хронический гепатит С. 5 лет назад выявлена ВИЧ-инфекция, в анамнезе-употребление наркотиков. Контакт с больными туберкулезом предполагает в быту. Микроскопическое исследование -методом ПЦР по технологии GeneXpert выявлена ДНК МБТ, определена устойчивость к рифампицину. КТ-исследование органов грудной клетки - в проекции С1,2 правого легкого определяются инфильтративные изменения, располагающиеся в зоне множественных разнокалиберных петрифакатов, зона деструкции. Массивные обызвествления в трахеобронхиальной группе лимфоузлов справа. Массивные апикальные наслоения. В С1,2 слева субплеврально петрификаты. Апикальная плевра утолщена, уплотнена.</w:t>
        <w:br/>
        <w:br/>
        <w:t>Инфильтративный туберкулез легких (характеризуется наличием воспалительных фокусов в легких более 1,0 см в диаметре, преимущественно экссудативного характера с казеозным некрозом и наличием или отсутствием деструкции легочной ткани и бронхогенного обсеменения);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1.5. Классификация заболевания или состояния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Инфильтративный туберкулез S1,2 правого легкого, фаза распада и обсеменения. МБТ(-). Рецидив. Кровохарканье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Факторами риска развития туберкулеза у данного пациента можно считать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наличие ХОБЛ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семейное положение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мужской пол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ХОБЛ</w:t>
      </w:r>
    </w:p>
    <w:p>
      <w:pPr>
        <w:ind w:left="504"/>
      </w:pPr>
      <w:r>
        <w:rPr>
          <w:b w:val="0"/>
          <w:i/>
        </w:rPr>
        <w:t>Туберкулёз нередко присоединяется к ХНЗЛ (паратуберкулёзный процесс), два заболевания могут протекать у одного больного одновременно (метатуберкулёзный процесс), ХНЗЛ иногда развивают вследствие перенесённого туберкулёза на фоне остаточных изменений (посттуберкулёзный процесс).Течение туберкулёза у больных с ХОБЛ менее благоприятно. Больные с ХОБЛ – курильщики, табачный дым воздействует не только на человека, но и на микобактерии, учащая, случаи их мутаций с образованием устойчивых к антибиотикам форм</w:t>
        <w:br/>
        <w:br/>
        <w:t>Фтизиатрия. Национальное руководство / Под ред. М. И. Перельмана. 2007. - 512 с. (Серия "Национальные руководства"). - 512 с. (Серия "Национальные руководства") - ISBN 978-5-9704-0490-4</w:t>
        <w:br/>
        <w:br/>
        <w:t>Глава 20. ТУБЕРКУЛЁЗ И ХРОНИЧЕСКИЕ НЕСПЕЦИФИЧЕСКИЕ ЗАБОЛЕВАНИЯ ЛЁГКИХ. С. 351-355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 результатам проведенного обследования, пациенту необходимо назначить +_________+ режим химиотерапии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преШЛУ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лекарственно-чувствительный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МЛУ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ШЛУ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МЛУ</w:t>
      </w:r>
    </w:p>
    <w:p>
      <w:pPr>
        <w:ind w:left="504"/>
      </w:pPr>
      <w:r>
        <w:rPr>
          <w:b w:val="0"/>
          <w:i/>
        </w:rPr>
        <w:t>Рекомендуется назначение режима химиотерапии МЛУ ТБ для лечения туберкулеза с установленной ЛУ возбудителя к рифампицину и изониазиду (или только рифампицину) и чувствительностью ко всем препаратам группы фторхинолонов, а также пациентам с риском МЛУ возбудителя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 Химиотерапия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Лечение данного больного в интенсивной фазе  МЛУ    режима химиотерапии требует назначения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минимум 5 препаратов: рифампицин, левофлоксацин, циклосерин, пиразинамид, протионамид в течение 4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максимум 4 препарата: теризидон, капреомицин, этамбутол,  изониазид в течение 8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5-6 препаратов:  левофлоксацин, циклосерин/теризидон, бедаквилин, линезолид, меропенем, пиразинамид не менее 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максимум 6 препаратов: моксифлоксацин, протионамид, теризидон, бедаквилин, рифампицин, изониазид  в течение 3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5-6 препаратов:  левофлоксацин, циклосерин/теризидон, бедаквилин, линезолид, меропенем, пиразинамид не менее 6 месяцев</w:t>
      </w:r>
    </w:p>
    <w:p>
      <w:pPr>
        <w:ind w:left="504"/>
      </w:pPr>
      <w:r>
        <w:rPr>
          <w:b w:val="0"/>
          <w:i/>
        </w:rPr>
        <w:t>Рекомендуется в интенсивной фазе режима химиотерапии МЛУ туберкулеза назначение комбинации, одновременно включающей пять-шесть противотуберкулезных лекарственных препаратов и антибиотиков с доказанной или предполагаемой лекарственной чувствительностью возбудителя, из которых четыре наиболее эффективны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3.1.3. Режим химиотерапии МЛУ туберкулеза</w:t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Больному назначается один из лекарственных препаратов группы фторхинолонов, бедаквилин, линезолид, циклосерин  или теризидон, а также один дополнительный препарат с оказанной или предполагаемой лекарственной чувствительностью возбудителя.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данного  больного  с впервые выявленным туберкулёзом легких продолжительность интенсивной фазы по МЛУ  режима химиотерапии составляет +_____+ месяца (-ев)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Рекомендуется при назначении режима химиотерапии МЛУ туберкулеза лечение пациента проводить длительностью не менее 18 месяцев для полного подавления микробной популяции и предотвращения рецидива: интенсивная фаза – не менее 6 месяцев;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3.1.3. Режим химиотерапии МЛУ туберкулеза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Пациент с впервые выявленным туберкулезом в фазе продолжения  МЛУ режима химиотерапии должен получать не менее  _____ препаратов одновременно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Рекомендуется в фазе продолжения режима химиотерапии МЛУ туберкулеза назначение комбинации, одновременно включающей не менее трех эффективных противотуберкулезных лекарственных препаратов и антибиотиков с сохраненной или предполагаемой лекарственной чувствительностью возбудителя для повышения эффективности лечения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3.1.3. Режим химиотерапии МЛУ туберкулеза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13. Дополнительная информация</w:t>
      </w:r>
    </w:p>
    <w:p>
      <w:pPr>
        <w:spacing w:after="58"/>
      </w:pPr>
      <w:r>
        <w:rPr>
          <w:b w:val="0"/>
          <w:i w:val="0"/>
        </w:rPr>
        <w:t>При контрольном КТ- исследовании после получения пациентом 90 доз определяется положительная динамика в виде частичного рассасывания инфильтративных изменений с преимущественным уплотнением оставшихся очагов. Бактериовыделение: отсутствие бактериовыделения.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Дальнейшая тактика лечения пациента предполагает переход на фазу продолжения лечения, сопровождающуюся получением двух отрицательных последовательных результатов посева мокроты с интервалом в +______+ месяц (-а)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Эффективное завершение интенсивной фазы подтверждается получением двух последовательных отрицательных результатов посева мокроты или другого диагностического материала с интервалом в один месяц.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3.1.3. Режим химиотерапии МЛУ туберкулеза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Перед началом противотуберкулезного лечения больному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посев крови на неспецифическую флору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иммуно-гистохимический анализ БАЛЖ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биохимический анализ крови с определением печеночных ферментов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серологический анализ крови с определением титра антител к возбудителю туберкулеза (IgG)2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биохимический анализ крови с определением печеночных ферментов</w:t>
      </w:r>
    </w:p>
    <w:p>
      <w:pPr>
        <w:ind w:left="504"/>
      </w:pPr>
      <w:r>
        <w:rPr>
          <w:b w:val="0"/>
          <w:i/>
        </w:rPr>
        <w:t>Анализ крови биохимический общетерапевтический - в интенсивной фазе лечения не реже 1 раза в месяц, а в фазе продолжения – 1 раз в 3 месяца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Приложение 5. Режимы химиопрофилактики туберкулеза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Больной проживает в коммунальной квартире с сожительницей и ее детьми. Данный очаг относится к +_____+ степени опасности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ind w:left="504"/>
      </w:pPr>
      <w:r>
        <w:rPr>
          <w:b w:val="0"/>
          <w:i/>
        </w:rPr>
        <w:t>I группа - очаги с высоким риском заражения туберкулёзом, отягощенные неблагоприятными факторами - социально отягощенные очаги. К этой группе относятся очаги, сформированные больными туберкулёзом органов дыхания, выделяющими микобактерии туберкулёза, при сочетании в очаге всех или части следующих неблагоприятных факторов: проживание в очаге детей тяжелые бытовые условия, отсутствие возможности выделения отдельного помещения для проживания больного;</w:t>
        <w:br/>
        <w:br/>
      </w:r>
      <w:hyperlink r:id="rId30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болезней», Утверждены Постановлением №4 от 28.01.2021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Рекомендуется взятие на диспансерный учет и наблюдение пациента по +_____+ МБТ ({plus}) группе диспансерного учета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 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 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ind w:left="504"/>
      </w:pPr>
      <w:r>
        <w:rPr>
          <w:b w:val="0"/>
          <w:i/>
        </w:rPr>
        <w:t>Больные туберкулезом, получающие лечение по любому режиму химиотерапии туберкулеза наблюдаются по I ГДН</w:t>
        <w:br/>
        <w:br/>
        <w:t>Пылаева, Ю. В. Сестринский уход во фтизиатрии : учебник / Ю. В. Пылаева. - 2-е изд. перераб. и доп. - Москва : ГЭОТАР-Медиа, 2022</w:t>
        <w:br/>
        <w:br/>
      </w:r>
      <w:hyperlink r:id="rId3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Больные туберкулезом, получающие лечение по любому режиму химиотерапии туберкулеза наблюдаются по I ГДН</w:t>
        <w:br/>
        <w:br/>
      </w:r>
      <w:hyperlink r:id="rId33">
        <w:r>
          <w:rPr>
            <w:color w:val="0F766E"/>
            <w:u w:val="single"/>
          </w:rPr>
          <w:t>Приказ Министерства здравоохранения РФ от 13 марта 2019 г. N 127н "Об утверждении порядка диспансерного наблюдения за больными туберкулезом, лицами, находящимися или находившимися в контакте с источником туберкулеза, а также лицами с подозрением на туберкулез и излеченными от туберкулеза и признании утратившими силу пунктов 16 - 17 Порядка оказания медицинской помощи больным туберкулезом, утвержденного приказом Министерства здравоохранения Российской Федерации от 15 ноября 2012 г. N 932н"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Фтизиатрия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Фтизиатрия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М., 37 лет, госпитализирован в торакальное отделение областной больницы.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одномоментное выделение(около 200 мл) крови с кашлем, общую слабость, потливость, снижение аппетита, субфебрильную температуру тела по вечерам, одышку при незначительной физической нагрузке, боли в правой половине грудной клетки в надлопаточной области при глубоком дыхании и кашле.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Болен туберкулезом легких в течение 7 лет.</w:t>
      </w:r>
    </w:p>
    <w:p>
      <w:pPr>
        <w:spacing w:after="58"/>
      </w:pPr>
      <w:r>
        <w:rPr>
          <w:b w:val="0"/>
          <w:i w:val="0"/>
        </w:rPr>
        <w:t>Заболел во время нахождения в местах лишения свободы.</w:t>
      </w:r>
    </w:p>
    <w:p>
      <w:pPr>
        <w:spacing w:after="58"/>
      </w:pPr>
      <w:r>
        <w:rPr>
          <w:b w:val="0"/>
          <w:i w:val="0"/>
        </w:rPr>
        <w:t>После освобождения лечился нерегулярно, отказывался от приема противотуберкулезных препаратов.</w:t>
      </w:r>
    </w:p>
    <w:p>
      <w:pPr>
        <w:spacing w:after="58"/>
      </w:pPr>
      <w:r>
        <w:rPr>
          <w:b w:val="0"/>
          <w:i w:val="0"/>
        </w:rPr>
        <w:t>Три года не лечился и не наблюдался, постоянно переезжал, менял города.</w:t>
      </w:r>
    </w:p>
    <w:p>
      <w:pPr>
        <w:spacing w:after="58"/>
      </w:pPr>
      <w:r>
        <w:rPr>
          <w:b w:val="0"/>
          <w:i w:val="0"/>
        </w:rPr>
        <w:t>Ухудшение самочувствия отмечает в течение последнего года: усилилась одышка, значительно похудел (на 25 кг), рецидивирующее кровохарканье, фебрильная лихорадка во второй половине дня.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в соответствии с возрастом.</w:t>
      </w:r>
    </w:p>
    <w:p>
      <w:pPr>
        <w:spacing w:after="58"/>
      </w:pPr>
      <w:r>
        <w:rPr>
          <w:b w:val="0"/>
          <w:i w:val="0"/>
        </w:rPr>
        <w:t>Профессия: каменщик.</w:t>
      </w:r>
    </w:p>
    <w:p>
      <w:pPr>
        <w:spacing w:after="58"/>
      </w:pPr>
      <w:r>
        <w:rPr>
          <w:b w:val="0"/>
          <w:i w:val="0"/>
        </w:rPr>
        <w:t>Стаж: 4 года.</w:t>
      </w:r>
    </w:p>
    <w:p>
      <w:pPr>
        <w:spacing w:after="58"/>
      </w:pPr>
      <w:r>
        <w:rPr>
          <w:b w:val="0"/>
          <w:i w:val="0"/>
        </w:rPr>
        <w:t>Образование: среднее.</w:t>
      </w:r>
    </w:p>
    <w:p>
      <w:pPr>
        <w:spacing w:after="58"/>
      </w:pPr>
      <w:r>
        <w:rPr>
          <w:b w:val="0"/>
          <w:i w:val="0"/>
        </w:rPr>
        <w:t>Перенесенные заболевания и операции: хронические заболевания, операции отрицает.</w:t>
      </w:r>
    </w:p>
    <w:p>
      <w:pPr>
        <w:spacing w:after="58"/>
      </w:pPr>
      <w:r>
        <w:rPr>
          <w:b w:val="0"/>
          <w:i w:val="0"/>
        </w:rPr>
        <w:t>Туберкулезный контакт не установлен.</w:t>
      </w:r>
    </w:p>
    <w:p>
      <w:pPr>
        <w:spacing w:after="58"/>
      </w:pPr>
      <w:r>
        <w:rPr>
          <w:b w:val="0"/>
          <w:i w:val="0"/>
        </w:rPr>
        <w:t>Вредные привычки – курит (индекс курения 23 пачко/лет), алкоголь употребляет умеренно.</w:t>
      </w:r>
    </w:p>
    <w:p>
      <w:pPr>
        <w:spacing w:after="58"/>
      </w:pPr>
      <w:r>
        <w:rPr>
          <w:b w:val="0"/>
          <w:i w:val="0"/>
        </w:rPr>
        <w:t>Аллергологический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тяжелое. Рост 180 см, вес 52 кг. Температура 38,5оС Кожные покровы чистые, бледные. Периферические лимфатические узлы не увеличены. Дыхание с участием вспомогательной мускулатуры, ритмичное, поверхностное. ЧД 28 в 1 минуту. Грудная клетка эмфизематозная. При пальпации эластичная. Западение надключичной ямки справа. Правая половина отстает в акте дыхания. Притупление перкуторного тона справа в надключичной и надлопаточной областях, слева с коробочным оттенком, больше в нижних отделах, также и справа в нижних отделах. Дыхание справа в верхних отделах с амфорическим оттенком, шум писка, в нижних отделах ослаблено, на фоне которого выслушиваются влажные мелкопузырчатые хрипы. Слева дыхание жесткое, по всем легочным полям разнокалиберные влажные хрипы. Тоны сердца ритмичные, приглушены. Пульс 102 в 1 мин. АД 90/60 мм рт.ст. Живот мягкий безболезненный. Печень не увеличена. Пастозность голеней и стоп.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Обязательными лабораторными методами обследования при подозрении на туберкулез в условиях общей лечебной сети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общий анализ мокроты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микробиологическое исследование 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микробиологическое исследование мокроты</w:t>
      </w:r>
    </w:p>
    <w:p>
      <w:pPr>
        <w:ind w:left="504"/>
      </w:pPr>
      <w:r>
        <w:rPr>
          <w:b w:val="0"/>
          <w:i/>
        </w:rPr>
        <w:t>Рекомендуется пациентам с предполагаемым диагнозом туберкулеза легких в комплекс лабораторных исследований для выявления МБТ включать микроскопическое исследование мокроты на микобактерии (_Mycobacterium spp._) или другого диагностического материала на микобактерии – не менее двух проб.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Раздел. 2.3. Лабораторные диагностические исследования</w:t>
        <w:br/>
        <w:br/>
      </w:r>
      <w:hyperlink r:id="rId3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Приоритетным компонентом комплекса исследования у пациентов с туберкулезом рекомендуется определение мутаций, ассоциированных с лекарственной устойчивостью в ДНК микобактерий туберкулеза (_Mycobacterium tuberculosis complex_) методом ПЦР в режиме реального времени или методом ПЦР с дальнейшей гибридизацией к препаратам первого ряда – изониазиду и рифампицину или, как минимум, к рифампицину.</w:t>
        <w:br/>
        <w:br/>
      </w:r>
      <w:hyperlink r:id="rId3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Обязательным инструментальным методом обследования при подозрении на туберкулез в условиях общей лечебной сети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функция внешнего дыхания с бронхолитической пробой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ЭКГ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обзорная рентгенография органов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фибробронхоскопия с проведением бронхоальвеолярного лаважа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обзорная рентгенография органов грудной клетки</w:t>
      </w:r>
    </w:p>
    <w:p>
      <w:pPr>
        <w:ind w:left="504"/>
      </w:pPr>
      <w:r>
        <w:rPr>
          <w:b w:val="0"/>
          <w:i/>
        </w:rPr>
        <w:t>Рекомендуется пациенту с подозрением на туберкулез органов дыхания выполнить рентгенографию грудной клетки в двух проекциях для определения клинической формы, активности и распространенности процесса.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2.4 Инструментальные диагностические исследования</w:t>
        <w:br/>
        <w:br/>
      </w:r>
      <w:hyperlink r:id="rId3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пациентам с предполагаемым диагнозом туберкулеза легких в комплекс лабораторных исследований для выявления МБТ включать микроскопическое исследование мокроты на микобактерии (_Mycobacterium spp._) или другого диагностического материала на микобактерии – не менее двух проб.</w:t>
        <w:br/>
        <w:br/>
      </w:r>
      <w:hyperlink r:id="rId38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данные клинико-лабораторных и инструментальных методов обследования,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Пневмониеподобная форма периферического рака легкого. Легочное кровотечение. Постгеморрагическая гипохромная анемия средней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Внебольничная полисегментарная деструктивная пневмония. Легочное кровотечение. Постгеморрагическая гипохромная анемия средней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Диссеминированный туберкулез легких в фазе инфильтрации, распада, МБТ (+). Туберкулез правого верхнедолевого бронха. Легочное кровотечение. Постгеморрагическая гипохромная анемия средней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Фиброзно-кавернозный туберкулез правого легкого в фазе инфильтрации, обсеменения МБТ (+). Туберкулез правого верхнедолевого бронха. Легочное кровотечение. Постгеморрагическая гипохромная анемия средней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Фиброзно-кавернозный туберкулез правого легкого в фазе инфильтрации, обсеменения МБТ (+). Туберкулез правого верхнедолевого бронха. Легочное кровотечение. Постгеморрагическая гипохромная анемия средней степени</w:t>
      </w:r>
    </w:p>
    <w:p>
      <w:pPr>
        <w:ind w:left="504"/>
      </w:pPr>
      <w:r>
        <w:rPr>
          <w:b w:val="0"/>
          <w:i/>
        </w:rPr>
        <w:t>Диагноз поставлен на основании:</w:t>
        <w:br/>
        <w:br/>
        <w:t>* данных анамнеза (туберкулез легких в течение 7 лет), жалоб (легочное кровотечение, общая слабость, потливость, снижение аппетита, субфебрильная температура тела по вечерам, одышка при незначительной физической нагрузке, боли в правой половине грудной клетки в надлопаточной области при глубоком дыхании и кашле), заболел во время нахождения в местах лишения свободы.</w:t>
        <w:br/>
        <w:t>* Данных объективного осмотра, рентгенологического - справа легочное поле уменьшено в объеме за счет наличия CV-magna в верхней доле, нижняя доля понижена в прозрачности за счет инфильтрации легочной ткани, костно-диафрагмальный синус запаян. Левое легкое компенсаторно расширено, в S I-II субплеврально определяются единичные очаговые тени и фокусы гомогенного характера выше средней интенсивности.</w:t>
        <w:br/>
        <w:t>* Микробиологическое исследование мокроты - микроскопия мокроты с окраской по Цилю-Нильсену - КУМ обнаружены 3 (+);</w:t>
        <w:br/>
        <w:t>* Фибробронхоскопия с проведением бронхоальвеолярного лаважа: бронхи проходимы. На слизистой оболочке правого верхнедолевого бронха инфильтрация размеров 5х5,5 мм.</w:t>
        <w:br/>
        <w:br/>
        <w:t>Фиброзно-кавернозный туберкулез легких (характеризуется наличием фиброзной каверны, развитием фиброзных изменений и других морфологических изменений в легких (пневмосклероз, эмфизема, бронхоэктазы) и наличием очагов бронхогенного отсева различной давности; течение часто сопровождается осложнениями).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1.5. Классификация заболевания или состояния</w:t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 переведен в областной противотуберкулезный стационар. Для постановки окончательного диагноза и выбора режима химиотерапии пациенту необходимо выполнить микробиологические исследования, включающие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микроскопическое исследование мокроты методом Циля-Нильсена или люминесцентную микроскопию/LED микроскопию, посев мокроты на среду Финн-2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микроскопическое исследование промывных вод бронхов методом Циля-Нильсена или люминесцентную микроскопию/LED микроскопию, общий анализ мокроты, посев на плотные питательные среды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мокроты, микроскопию мокроты с окраской по Граму, посев на жидкие питательные среды, анализ мокроты молекулярно-генетическим методом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микроскопическое исследование мокроты методом Циля-Нильсена или люминесцентную микроскопию, анализ мокроты молекулярно-генетическим методом (ПЦР), посев мокроты на жидкие и/или плотные питательные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микроскопическое исследование мокроты методом Циля-Нильсена или люминесцентную микроскопию, анализ мокроты молекулярно-генетическим методом (ПЦР), посев мокроты на жидкие и/или плотные питательные</w:t>
      </w:r>
    </w:p>
    <w:p>
      <w:pPr>
        <w:ind w:left="504"/>
      </w:pPr>
      <w:r>
        <w:rPr>
          <w:b w:val="0"/>
          <w:i/>
        </w:rPr>
        <w:t>Рекомендуется проведение как минимум двукратного микробиологического (культурального) исследования мокроты или иного диагностического материала на микобактерии туберкулеза (_Mycobacterium tuberculosis complex_) в течение 2-3 последовательных дней или с применением комплекса микробиологических (культуральных) исследований на жидких и/или плотных питательных средах на микобактерий туберкулеза (_Mycobacterium tuberculosis complex_), а также молекулярно-билогических исследований мокроты или иного диагностического материала пациентам с подозрением на туберкулез для этиологической диагностики туберкулеза.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2.3 Лабораторные диагностические исследования</w:t>
        <w:br/>
        <w:br/>
      </w:r>
      <w:hyperlink r:id="rId4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посеве на жидкие питательные среды (BACTEC) обнаружен обильный рост МБТ, выявлена устойчивость крифампицину и изониазиду. Необходимо начать лечение по +______________+ режиму химиотерапии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изониазид-резистентному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МЛУ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ШЛУ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пре-ШЛУ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МЛУ</w:t>
      </w:r>
    </w:p>
    <w:p>
      <w:pPr>
        <w:ind w:left="504"/>
      </w:pPr>
      <w:r>
        <w:rPr>
          <w:b w:val="0"/>
          <w:i/>
        </w:rPr>
        <w:t>Рекомендуется назначение режима химиотерапии МЛУ ТБ для лечения туберкулеза с установленной ЛУ возбудителя к рифампицину и изониазиду (или только рифампицину) и чувствительностью ко всем препаратам группы фторхинолонов, а также пациентам с риском МЛУ возбудителя.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3 1. Химиотерапия</w:t>
        <w:br/>
        <w:br/>
      </w:r>
      <w:hyperlink r:id="rId4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После приема 50 доз противотуберкулезных препаратов при посеве на плотные питательные среды получена устойчивость к изониазиду, рифампицину, амикацину, офлоксацину, этамбутолу, этионамиду. Режим химиотерапии должен быть изменен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ШЛУ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лекарственно-чувствительный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пре-ШЛУ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изониазид-резистентный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пре-ШЛУ</w:t>
      </w:r>
    </w:p>
    <w:p>
      <w:pPr>
        <w:ind w:left="504"/>
      </w:pPr>
      <w:r>
        <w:rPr>
          <w:b w:val="0"/>
          <w:i/>
        </w:rPr>
        <w:t>При устойчивости возбудителя к рифампицину и изониазиду (или только рифампицину) с лекарственной устойчивостью к фторхинолонам (режим пре-ШЛУ ТБ).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3 1. Химиотерапия</w:t>
        <w:br/>
        <w:br/>
      </w:r>
      <w:hyperlink r:id="rId4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связи с исключением из схемы химиотерапии протионамида/этионамида, к лечению целесообразно добавить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меропенем, амоксициллина/клавуланат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бедаквилин, линезолид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ПАСК, амоксициллина/клавуланат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ПАСК, рифампентин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бедаквилин, линезолид</w:t>
      </w:r>
    </w:p>
    <w:p>
      <w:pPr>
        <w:ind w:left="504"/>
      </w:pPr>
      <w:r>
        <w:rPr>
          <w:b w:val="0"/>
          <w:i/>
        </w:rPr>
        <w:t>Рекомендуется в интенсивной фазе режима пре-ШЛУ туберкулеза назначение комбинации, одновременно включающей не менее пяти противотуберкулезных лекарственных препаратов и антибиотиков с предполагаемой или сохраненной лекарственной чувствительностью возбудителя для подавления микробной популяции.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3 1. 4. Режим химиотерапии пре-ШЛУ туберкулеза</w:t>
        <w:br/>
        <w:br/>
      </w:r>
      <w:hyperlink r:id="rId4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назначение бедаквилина в составе режима пре-ШЛУ туберкулеза для повышения эффективности лечения</w:t>
        <w:br/>
        <w:br/>
      </w:r>
      <w:hyperlink r:id="rId4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Рекомендуется назначение линезолида в составе режима пре-ШЛУ туберкулеза для повышения эффективности лечения</w:t>
        <w:br/>
        <w:br/>
      </w:r>
      <w:hyperlink r:id="rId46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Обязательным компонентом в ежемесячном контрольном обследовании при назначении бедаквилина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осмотр офтальмолога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осмотр оториноларинголога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электрокардиографическое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креатинина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электрокардиографическое исследование</w:t>
      </w:r>
    </w:p>
    <w:p>
      <w:pPr>
        <w:ind w:left="504"/>
      </w:pPr>
      <w:r>
        <w:rPr>
          <w:b w:val="0"/>
          <w:i/>
        </w:rPr>
        <w:t>Регистрация электрокардиограммы (ЭКГ) (с расчетом интервала QT) ежемесячно.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Приложение А3.5. Млниторинг и предупреждение неблагоприятных побочных реакций в процессе химиотерапии.</w:t>
        <w:br/>
        <w:br/>
      </w:r>
      <w:hyperlink r:id="rId4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После 1 месяца приема препаратов по пре-ШЛУ (Bq, Lzd, Lfx, Cs, Z, Cm) в среднетерапевтических дозировках у пациента появились жалобы на снижение слуха. Предположительно данная неблагоприятная побочная реакция связана с приемом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бедаквилина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парааминосалициловой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циклосерина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капреомицина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капреомицина</w:t>
      </w:r>
    </w:p>
    <w:p>
      <w:pPr>
        <w:ind w:left="504"/>
      </w:pPr>
      <w:r>
        <w:rPr>
          <w:b w:val="0"/>
          <w:i/>
        </w:rPr>
        <w:t>Побочные эффекты при лечении капреомицином связаны с его токсическим воздействием на почки, слуховой аппарат.</w:t>
        <w:br/>
        <w:br/>
        <w:t>Фтизиатрия : учебник / Перельман М. И. , Богадельникова И. В. - 4-е изд. , перераб. и доп. - Москва : ГЭОТАР-Медиа, 2013</w:t>
        <w:br/>
        <w:br/>
      </w:r>
      <w:hyperlink r:id="rId4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Ограничениями к применению являются: поражение VIII пары черепно-мозговых нервов (может вызывать слуховые и вестибулярные расстройства.</w:t>
        <w:br/>
        <w:br/>
        <w:t>Рациональная фармакотерапия. Справочник терапевта : руководство для практикующих врачей / под ред. А. И. Мартынова, В. Н. Лариной. - 2-изд. - Москва : Литтерра, 2022</w:t>
        <w:br/>
        <w:br/>
      </w:r>
      <w:hyperlink r:id="rId4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 осмотрен оториноларингологом, проведена аудиограмма. Заключение: Токсическая нейросенсорная двухсторонняя тугоухость 1 степени. Дальнейшей тактикой лечения будет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проведение аудиограммы, отмена препарата, уменьшение дозы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речевой аудиометрии кохлеарная имплантация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дуплексное сканирование брахиоцефальных артерий, исследование слуха шепотной и разговорной речью, наблюдение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акустическая рефлексометрия, проведение слухопротезирования, наблюдение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проведение аудиограммы, отмена препарата, уменьшение дозы препарата</w:t>
      </w:r>
    </w:p>
    <w:p>
      <w:pPr>
        <w:ind w:left="504"/>
      </w:pPr>
      <w:r>
        <w:rPr>
          <w:b w:val="0"/>
          <w:i/>
        </w:rPr>
        <w:t>Рекомендуется (осмотр, консультация) врача-сурдолога оториноларинголога первичный всем пациентам перед назначением/коррекцией терапии с целью проведения аудиограммы выявления/исключения нейросенсорной тугоухости и степени снижения слуха.</w:t>
        <w:br/>
        <w:br/>
      </w:r>
      <w:hyperlink r:id="rId50">
        <w:r>
          <w:rPr>
            <w:color w:val="0F766E"/>
            <w:u w:val="single"/>
          </w:rPr>
          <w:t>Клинические рекомендации Минздрава России. Криопирин-ассоциированные периодические синдромы(Другие уточненные нарушения с вовлечением иммунного механизма, не классифицированные в других рубриках). 2023г.</w:t>
        </w:r>
      </w:hyperlink>
      <w:r>
        <w:rPr>
          <w:b w:val="0"/>
          <w:i/>
        </w:rPr>
        <w:br/>
        <w:br/>
        <w:t>Раздел 2.3.3. Иные диагностические исследования</w:t>
        <w:br/>
        <w:br/>
      </w:r>
      <w:hyperlink r:id="rId5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Появление побочных токсических реакций при лечении стрептомицином или другими аминогликозидами требуют немедленной отмены препаратов.</w:t>
        <w:br/>
        <w:br/>
        <w:t>Фтизиатрия : учебник / Перельман М. И. , Богадельникова И. В. - 4-е изд. , перераб. и доп. - Москва : ГЭОТАР-Медиа, 2013.</w:t>
        <w:br/>
        <w:br/>
      </w:r>
      <w:hyperlink r:id="rId5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Осмотр врачом-оториноларингологом и аудиограмма перед назначением канамицина, амикацина, капреомицина.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Приложение А3.5.. Мониторинг и предупреждение неблагоприятных побочных реакций в процессе химиотерапии</w:t>
        <w:br/>
        <w:br/>
      </w:r>
      <w:hyperlink r:id="rId5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Через 4 месяца от начала лечения, в связи с незначительной динамикой (в мокроте микроскопически КУМ 1+, посевом -2+, рентгенологически – без существенной динамики, ФВД в динамике – ДН1 ст), пациент осмотрен торакальным хирургом на предмет постановки бронхоблокатора, дано заключение, что постановка бронхоблокатора возможна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положительной рентгенологической динамике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 подтверждении излечения туберкулеза правого верхнедолевого бронха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без дополнительных исследований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стойком абациллировании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подтверждении излечения туберкулеза правого верхнедолевого бронха</w:t>
      </w:r>
    </w:p>
    <w:p>
      <w:pPr>
        <w:ind w:left="504"/>
      </w:pPr>
      <w:r>
        <w:rPr>
          <w:b w:val="0"/>
          <w:i/>
        </w:rPr>
        <w:t>Общие противопоказания: активный туберкулез бронха на стороне поражения; активное воспаление бронхов любой природы; стеноз бронха 2-3 степени; эмфизема легких; дыхательная недостаточность II-III степени.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3.3.1.Коллапсотерапия</w:t>
        <w:br/>
        <w:br/>
      </w:r>
      <w:hyperlink r:id="rId5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назначение клапанной бронхоблокации для лечения деструктивных изменений у пациентов с туберкулезом легких (в первую очередь, инфильтративном и фиброзно-кавернозном туберкулезе легких) при: длительно не закрывающейся деструкции при адекватной химиотерапии.</w:t>
        <w:br/>
        <w:br/>
      </w:r>
      <w:hyperlink r:id="rId5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Пациенту в условиях стационара с гемостатической целью предпочтительно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гепарин подкожно, аминокапроновую кислоту перорально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викасол внутримышечно, аминокапроновую кислоту внутривенно струйно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внутривенное введение транексамовой кислоты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кодеин перорально, викасол внутивенно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внутривенное введение транексамовой кислоты</w:t>
      </w:r>
    </w:p>
    <w:p>
      <w:pPr>
        <w:ind w:left="504"/>
      </w:pPr>
      <w:r>
        <w:rPr>
          <w:b w:val="0"/>
          <w:i/>
        </w:rPr>
        <w:t>Гемостатическая терапия включает введение внутривенно 1 г транексамовой кислоты при подозрении или диагностике массивной кровопотери и геморрагического шока.</w:t>
        <w:br/>
        <w:br/>
        <w:t>Лекарственное обеспечение клинических протоколов. Акушерство и гинекология / под ред. В. Е. Радзинского. - 4-е изд., перераб. и доп. - Москва : ГЭОТАР-Медиа, 2023. - 264 с. - ISBN 978-5-9704-7529-4, DOI: 10.33029/9704-7529-4-LEK-2023-1-264. 8.3. Интенсивная терапия</w:t>
        <w:br/>
        <w:br/>
      </w:r>
      <w:hyperlink r:id="rId5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Внутривенное введение раствора транексамовой кислоты позволяет значительно уменьшить продолжительность и объем кровопотери при ЛК независимо от причины последнего.</w:t>
        <w:br/>
        <w:br/>
        <w:t>Скорая медицинская помощь: национальное руководство / под ред. С. Ф. Багненко, С. С. Петрикова, И. П. Миннуллина, А. Г. Мирошниченко. — 2-е изд., перераб. и доп. — Москва : ГЭОТАР-Медиа, 2025 г.</w:t>
        <w:br/>
        <w:br/>
      </w:r>
      <w:hyperlink r:id="rId57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6_2/" TargetMode="External"/><Relationship Id="rId10" Type="http://schemas.openxmlformats.org/officeDocument/2006/relationships/hyperlink" Target="https://library.mededtech.ru/rest/documents/KP16_2/index.html#paragraph_rr19up" TargetMode="External"/><Relationship Id="rId11" Type="http://schemas.openxmlformats.org/officeDocument/2006/relationships/hyperlink" Target="https://library.mededtech.ru/rest/documents/KP16_2/index.html#paragraph_on1e8q" TargetMode="External"/><Relationship Id="rId12" Type="http://schemas.openxmlformats.org/officeDocument/2006/relationships/hyperlink" Target="https://library.mededtech.ru/rest/documents/KP16_2/index.html#list_item_hh7hf1" TargetMode="External"/><Relationship Id="rId13" Type="http://schemas.openxmlformats.org/officeDocument/2006/relationships/hyperlink" Target="https://library.mededtech.ru/rest/documents/KP16_2/index.html#list_item_2qovhb" TargetMode="External"/><Relationship Id="rId14" Type="http://schemas.openxmlformats.org/officeDocument/2006/relationships/hyperlink" Target="https://library.mededtech.ru/rest/documents/KP16_2/index.html#list_item_iv7c12" TargetMode="External"/><Relationship Id="rId15" Type="http://schemas.openxmlformats.org/officeDocument/2006/relationships/hyperlink" Target="https://library.mededtech.ru/rest/documents/KP16_2/index.html#paragraph_74dluq" TargetMode="External"/><Relationship Id="rId16" Type="http://schemas.openxmlformats.org/officeDocument/2006/relationships/hyperlink" Target="https://library.mededtech.ru/rest/documents/KP16_2/index.html#paragraph_mnac4k" TargetMode="External"/><Relationship Id="rId17" Type="http://schemas.openxmlformats.org/officeDocument/2006/relationships/hyperlink" Target="https://library.mededtech.ru/rest/documents/KP16_2/index.html#list_item_ssio1j" TargetMode="External"/><Relationship Id="rId18" Type="http://schemas.openxmlformats.org/officeDocument/2006/relationships/image" Target="media/image1.jpg"/><Relationship Id="rId19" Type="http://schemas.openxmlformats.org/officeDocument/2006/relationships/image" Target="media/image2.jpg"/><Relationship Id="rId20" Type="http://schemas.openxmlformats.org/officeDocument/2006/relationships/image" Target="media/image3.jpg"/><Relationship Id="rId21" Type="http://schemas.openxmlformats.org/officeDocument/2006/relationships/image" Target="media/image4.jpg"/><Relationship Id="rId22" Type="http://schemas.openxmlformats.org/officeDocument/2006/relationships/hyperlink" Target="https://library.mededtech.ru/rest/documents/KP16_2/index.html#list_item_c5adrn" TargetMode="External"/><Relationship Id="rId23" Type="http://schemas.openxmlformats.org/officeDocument/2006/relationships/hyperlink" Target="https://library.mededtech.ru/rest/documents/ISBN9785970404973/?anchor=paragraph_ts27op#paragraph_ts27op" TargetMode="External"/><Relationship Id="rId24" Type="http://schemas.openxmlformats.org/officeDocument/2006/relationships/hyperlink" Target="https://library.mededtech.ru/rest/documents/KP16_2/index.html#list_item_mm6rth" TargetMode="External"/><Relationship Id="rId25" Type="http://schemas.openxmlformats.org/officeDocument/2006/relationships/hyperlink" Target="https://library.mededtech.ru/rest/documents/KP16_2/index.html#list_item_6arq31" TargetMode="External"/><Relationship Id="rId26" Type="http://schemas.openxmlformats.org/officeDocument/2006/relationships/hyperlink" Target="https://library.mededtech.ru/rest/documents/KP16_2/index.html#list_item_isqp5q" TargetMode="External"/><Relationship Id="rId27" Type="http://schemas.openxmlformats.org/officeDocument/2006/relationships/hyperlink" Target="https://library.mededtech.ru/rest/documents/KP16_2/index.html#list_item_adg2uc" TargetMode="External"/><Relationship Id="rId28" Type="http://schemas.openxmlformats.org/officeDocument/2006/relationships/hyperlink" Target="https://library.mededtech.ru/rest/documents/KP16_2/index.html#paragraph_q75i51" TargetMode="External"/><Relationship Id="rId29" Type="http://schemas.openxmlformats.org/officeDocument/2006/relationships/hyperlink" Target="https://library.mededtech.ru/rest/documents/KP16_2/index.html#list_item_e7rii1" TargetMode="External"/><Relationship Id="rId30" Type="http://schemas.openxmlformats.org/officeDocument/2006/relationships/hyperlink" Target="https://library.mededtech.ru/rest/documents/sanpin3686_21/" TargetMode="External"/><Relationship Id="rId31" Type="http://schemas.openxmlformats.org/officeDocument/2006/relationships/hyperlink" Target="https://library.mededtech.ru/rest/documents/sanpin3686_21/index.html#paragraph_75nlo9" TargetMode="External"/><Relationship Id="rId32" Type="http://schemas.openxmlformats.org/officeDocument/2006/relationships/hyperlink" Target="https://library.mededtech.ru/rest/documents/ISBN9785970467084/?anchor=table_dq5fuu#table_dq5fuu" TargetMode="External"/><Relationship Id="rId33" Type="http://schemas.openxmlformats.org/officeDocument/2006/relationships/hyperlink" Target="https://library.mededtech.ru/rest/documents/prikaz127/" TargetMode="External"/><Relationship Id="rId34" Type="http://schemas.openxmlformats.org/officeDocument/2006/relationships/hyperlink" Target="https://library.mededtech.ru/rest/documents/prikaz127/index.html#table_6iqrf7" TargetMode="External"/><Relationship Id="rId35" Type="http://schemas.openxmlformats.org/officeDocument/2006/relationships/hyperlink" Target="https://library.mededtech.ru/rest/documents/KP16_3/" TargetMode="External"/><Relationship Id="rId36" Type="http://schemas.openxmlformats.org/officeDocument/2006/relationships/hyperlink" Target="https://library.mededtech.ru/rest/documents/KP16_3/index.html#list_item_6n1vud" TargetMode="External"/><Relationship Id="rId37" Type="http://schemas.openxmlformats.org/officeDocument/2006/relationships/hyperlink" Target="https://library.mededtech.ru/rest/documents/KP16_3/index.html#list_item_9795qu" TargetMode="External"/><Relationship Id="rId38" Type="http://schemas.openxmlformats.org/officeDocument/2006/relationships/hyperlink" Target="https://library.mededtech.ru/rest/documents/KP16_3/index.html#list_item_dujhma" TargetMode="External"/><Relationship Id="rId39" Type="http://schemas.openxmlformats.org/officeDocument/2006/relationships/hyperlink" Target="https://library.mededtech.ru/rest/documents/KP16_3/index.html#list_item_anu7ob" TargetMode="External"/><Relationship Id="rId40" Type="http://schemas.openxmlformats.org/officeDocument/2006/relationships/hyperlink" Target="https://library.mededtech.ru/rest/documents/KP16_3/index.html#list_item_tgn5r5" TargetMode="External"/><Relationship Id="rId41" Type="http://schemas.openxmlformats.org/officeDocument/2006/relationships/hyperlink" Target="https://library.mededtech.ru/rest/documents/KP16_3/index.html#list_item_3bnf3g" TargetMode="External"/><Relationship Id="rId42" Type="http://schemas.openxmlformats.org/officeDocument/2006/relationships/hyperlink" Target="https://library.mededtech.ru/rest/documents/KP16_3/index.html#list_item_li42i8" TargetMode="External"/><Relationship Id="rId43" Type="http://schemas.openxmlformats.org/officeDocument/2006/relationships/hyperlink" Target="https://library.mededtech.ru/rest/documents/KP16_3/index.html#list_item_eof7pb" TargetMode="External"/><Relationship Id="rId44" Type="http://schemas.openxmlformats.org/officeDocument/2006/relationships/hyperlink" Target="https://library.mededtech.ru/rest/documents/KP16_3/index.html#list_item_0i36k7" TargetMode="External"/><Relationship Id="rId45" Type="http://schemas.openxmlformats.org/officeDocument/2006/relationships/hyperlink" Target="https://library.mededtech.ru/rest/documents/KP16_3/index.html#list_item_svrbtt" TargetMode="External"/><Relationship Id="rId46" Type="http://schemas.openxmlformats.org/officeDocument/2006/relationships/hyperlink" Target="https://library.mededtech.ru/rest/documents/KP16_3/index.html#list_item_vfuq37" TargetMode="External"/><Relationship Id="rId47" Type="http://schemas.openxmlformats.org/officeDocument/2006/relationships/hyperlink" Target="https://library.mededtech.ru/rest/documents/KP16_3/index.html#list_item_fpbt5o" TargetMode="External"/><Relationship Id="rId48" Type="http://schemas.openxmlformats.org/officeDocument/2006/relationships/hyperlink" Target="https://library.mededtech.ru/rest/documents/ISBN9785970424933/?anchor=paragraph_u4l4oh#paragraph_u4l4oh" TargetMode="External"/><Relationship Id="rId49" Type="http://schemas.openxmlformats.org/officeDocument/2006/relationships/hyperlink" Target="https://library.mededtech.ru/rest/documents/ISBN9785423503796/?anchor=paragraph_jt0025#paragraph_jt0025" TargetMode="External"/><Relationship Id="rId50" Type="http://schemas.openxmlformats.org/officeDocument/2006/relationships/hyperlink" Target="https://library.mededtech.ru/rest/documents/KP758/" TargetMode="External"/><Relationship Id="rId51" Type="http://schemas.openxmlformats.org/officeDocument/2006/relationships/hyperlink" Target="https://library.mededtech.ru/rest/documents/KP758/index.html#list_item_1a5b9h" TargetMode="External"/><Relationship Id="rId52" Type="http://schemas.openxmlformats.org/officeDocument/2006/relationships/hyperlink" Target="https://library.mededtech.ru/rest/documents/ISBN9785970424933/?anchor=paragraph_73e0ib#paragraph_73e0ib" TargetMode="External"/><Relationship Id="rId53" Type="http://schemas.openxmlformats.org/officeDocument/2006/relationships/hyperlink" Target="https://library.mededtech.ru/rest/documents/KP16_3/index.html#list_item_m92c05" TargetMode="External"/><Relationship Id="rId54" Type="http://schemas.openxmlformats.org/officeDocument/2006/relationships/hyperlink" Target="https://library.mededtech.ru/rest/documents/KP16_3/index.html#list_item_mvoomh" TargetMode="External"/><Relationship Id="rId55" Type="http://schemas.openxmlformats.org/officeDocument/2006/relationships/hyperlink" Target="https://library.mededtech.ru/rest/documents/KP16_3/index.html#list_item_5uatq3" TargetMode="External"/><Relationship Id="rId56" Type="http://schemas.openxmlformats.org/officeDocument/2006/relationships/hyperlink" Target="https://library.mededtech.ru/rest/documents/ISBN9785970475294/?anchor=paragraph_1madik#paragraph_1madik" TargetMode="External"/><Relationship Id="rId57" Type="http://schemas.openxmlformats.org/officeDocument/2006/relationships/hyperlink" Target="https://library.mededtech.ru/rest/documents/library2522/?anchor=paragraph_06955h#paragraph_0695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